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81FE1" w14:textId="2AB34656" w:rsidR="00081AE6" w:rsidRPr="00081AE6" w:rsidRDefault="00081AE6" w:rsidP="00081AE6">
      <w:r w:rsidRPr="00081AE6">
        <w:rPr>
          <w:b/>
          <w:bCs/>
        </w:rPr>
        <w:t>Arvamuse andmine </w:t>
      </w:r>
      <w:r>
        <w:rPr>
          <w:b/>
          <w:bCs/>
        </w:rPr>
        <w:t xml:space="preserve">kriitiliste toormete määruse </w:t>
      </w:r>
      <w:r w:rsidR="00FE577A">
        <w:rPr>
          <w:b/>
          <w:bCs/>
        </w:rPr>
        <w:t xml:space="preserve">muutmise </w:t>
      </w:r>
      <w:r>
        <w:rPr>
          <w:b/>
          <w:bCs/>
        </w:rPr>
        <w:t>kohta</w:t>
      </w:r>
      <w:r w:rsidRPr="00081AE6">
        <w:t> </w:t>
      </w:r>
    </w:p>
    <w:p w14:paraId="1ACBD16F" w14:textId="2D8FFB53" w:rsidR="00081AE6" w:rsidRPr="00081AE6" w:rsidRDefault="00081AE6" w:rsidP="00081AE6">
      <w:r w:rsidRPr="00081AE6">
        <w:t>Majandus- ja kommunikatsiooniministeerium sai ülesande avaldada kliimaministeeriumile arvamust </w:t>
      </w:r>
      <w:r>
        <w:t xml:space="preserve">kriitiliste toormete määruse </w:t>
      </w:r>
      <w:r w:rsidR="00FE577A">
        <w:t xml:space="preserve">muutmise </w:t>
      </w:r>
      <w:r>
        <w:t>ettepaneku kohta</w:t>
      </w:r>
      <w:r w:rsidRPr="00081AE6">
        <w:t> (COM(2025)</w:t>
      </w:r>
      <w:r w:rsidR="00EA3322">
        <w:t>946</w:t>
      </w:r>
      <w:r w:rsidRPr="00081AE6">
        <w:t>). </w:t>
      </w:r>
    </w:p>
    <w:p w14:paraId="182E48DF" w14:textId="07205B6D" w:rsidR="00081AE6" w:rsidRDefault="7662380C" w:rsidP="00081AE6">
      <w:r>
        <w:t xml:space="preserve">MKMi arvates </w:t>
      </w:r>
      <w:r w:rsidR="00D4470F">
        <w:t>saab</w:t>
      </w:r>
      <w:r>
        <w:t> </w:t>
      </w:r>
      <w:r w:rsidR="00D4470F">
        <w:t>eelnõu</w:t>
      </w:r>
      <w:r>
        <w:t> läbirääkimistel lähtuda järgmistest seisukohtadest: </w:t>
      </w:r>
    </w:p>
    <w:p w14:paraId="214F964A" w14:textId="16C01D94" w:rsidR="00970FAB" w:rsidRPr="00970FAB" w:rsidRDefault="004D2D46" w:rsidP="00081AE6">
      <w:pPr>
        <w:rPr>
          <w:b/>
          <w:bCs/>
        </w:rPr>
      </w:pPr>
      <w:r w:rsidRPr="00970FAB">
        <w:rPr>
          <w:b/>
          <w:bCs/>
        </w:rPr>
        <w:t>Saame nõustuda sellega, et suurettevõtted peavad</w:t>
      </w:r>
      <w:r w:rsidR="00451D55" w:rsidRPr="00970FAB">
        <w:rPr>
          <w:b/>
          <w:bCs/>
        </w:rPr>
        <w:t xml:space="preserve"> </w:t>
      </w:r>
      <w:r w:rsidR="00970FAB" w:rsidRPr="00970FAB">
        <w:rPr>
          <w:b/>
          <w:bCs/>
        </w:rPr>
        <w:t>panustama kriitilise tooraine kättesaadavusega seotud riskide hindamisse.</w:t>
      </w:r>
      <w:r w:rsidR="00C21594">
        <w:rPr>
          <w:b/>
          <w:bCs/>
        </w:rPr>
        <w:t xml:space="preserve"> </w:t>
      </w:r>
    </w:p>
    <w:p w14:paraId="0C112003" w14:textId="2543B299" w:rsidR="00970FAB" w:rsidRDefault="00B61589" w:rsidP="00081AE6">
      <w:r>
        <w:t xml:space="preserve">Kehtiva kriitiliste toormete määruse </w:t>
      </w:r>
      <w:r w:rsidR="004D6A60" w:rsidRPr="004D6A60">
        <w:t>2024/1252</w:t>
      </w:r>
      <w:r w:rsidR="004D6A60">
        <w:t xml:space="preserve"> </w:t>
      </w:r>
      <w:r>
        <w:t>artiklit</w:t>
      </w:r>
      <w:r w:rsidR="000B4BE4">
        <w:t xml:space="preserve"> 24 muudetakse nii, et sellesse lisatakse </w:t>
      </w:r>
      <w:r w:rsidR="0039014B">
        <w:t xml:space="preserve">kohustus suurettevõtetel hinnata </w:t>
      </w:r>
      <w:r w:rsidR="00B44BDA">
        <w:t xml:space="preserve">oma </w:t>
      </w:r>
      <w:r w:rsidR="0039014B">
        <w:t>strateegilis</w:t>
      </w:r>
      <w:r w:rsidR="00FF230F">
        <w:t xml:space="preserve">te toormete tarneahelaga seotud riske. </w:t>
      </w:r>
      <w:r w:rsidR="00B44BDA">
        <w:t xml:space="preserve">Riskihinnangu eesmärgiks on see, et suurettevõtted tajuksid oma haavatavusi </w:t>
      </w:r>
      <w:r w:rsidR="00B13E5C">
        <w:t>tarnehäirete suhtes ja mõistaksid</w:t>
      </w:r>
      <w:r w:rsidR="002E48B1">
        <w:t xml:space="preserve"> muuhulgas</w:t>
      </w:r>
      <w:r w:rsidR="00B13E5C">
        <w:t xml:space="preserve">, et </w:t>
      </w:r>
      <w:r w:rsidR="00BA6681">
        <w:t xml:space="preserve">üks viis riskide maandamiseks on mitmekesistada </w:t>
      </w:r>
      <w:r w:rsidR="002D1523">
        <w:t xml:space="preserve">toormete </w:t>
      </w:r>
      <w:r w:rsidR="00B13E5C">
        <w:t xml:space="preserve">tarneallikaid. </w:t>
      </w:r>
    </w:p>
    <w:p w14:paraId="677A98FB" w14:textId="77777777" w:rsidR="00B04106" w:rsidRDefault="00BA6681" w:rsidP="00081AE6">
      <w:r>
        <w:t>Artikli 24 muudatusega saab</w:t>
      </w:r>
      <w:r w:rsidR="00FA64B2">
        <w:t xml:space="preserve"> suures plaanis nõustuda</w:t>
      </w:r>
      <w:r w:rsidR="00A20917">
        <w:t xml:space="preserve">, sest kriitiliste toormete nõudlus on kasvav ja </w:t>
      </w:r>
      <w:r w:rsidR="008F1528">
        <w:t xml:space="preserve">nende </w:t>
      </w:r>
      <w:r w:rsidR="00B04106">
        <w:t xml:space="preserve">üle kontrolli saavutamine geopoliitiliste </w:t>
      </w:r>
      <w:r w:rsidR="008F1528">
        <w:t>tülide objekt</w:t>
      </w:r>
      <w:r w:rsidR="00FA64B2">
        <w:t xml:space="preserve">. </w:t>
      </w:r>
    </w:p>
    <w:p w14:paraId="70F83AF4" w14:textId="4F4D6723" w:rsidR="00FA64B2" w:rsidRDefault="00FA64B2" w:rsidP="00081AE6">
      <w:r>
        <w:t>Küll aga tule</w:t>
      </w:r>
      <w:r w:rsidR="00990129">
        <w:t>b</w:t>
      </w:r>
      <w:r>
        <w:t xml:space="preserve"> jälgida, et </w:t>
      </w:r>
      <w:r w:rsidR="007649C9">
        <w:t xml:space="preserve">kohustus jagada riskihinnangu käigus </w:t>
      </w:r>
      <w:r w:rsidR="00BA6681">
        <w:t>kogutud infot</w:t>
      </w:r>
      <w:r w:rsidR="007D3419">
        <w:t xml:space="preserve"> ELi institutsioonidega oleks proportsionaalne </w:t>
      </w:r>
      <w:r w:rsidR="007649C9">
        <w:t xml:space="preserve"> </w:t>
      </w:r>
      <w:r w:rsidR="007D3419">
        <w:t xml:space="preserve">ja ei ületaks ärisaladuse kaitse vajadusi. </w:t>
      </w:r>
      <w:r w:rsidR="0074751F">
        <w:t xml:space="preserve">ELi järelevalve </w:t>
      </w:r>
      <w:r w:rsidR="003302D8">
        <w:t xml:space="preserve">teostatud riskihindamiste sisu üle </w:t>
      </w:r>
      <w:r w:rsidR="0074751F">
        <w:t>ei tohi tekitada lisapingeid investoritele ja ettevõtetele</w:t>
      </w:r>
      <w:r w:rsidR="001E6333">
        <w:t>, sest selle tulemusel võivad investorid ja ettevõtted liikuda ELi turult ära.</w:t>
      </w:r>
      <w:r w:rsidR="001A4890">
        <w:t xml:space="preserve"> </w:t>
      </w:r>
    </w:p>
    <w:p w14:paraId="52DD1335" w14:textId="35DD6FAD" w:rsidR="003302D8" w:rsidRDefault="003302D8" w:rsidP="00081AE6">
      <w:r>
        <w:t>Eesti eesmärgiks on vähendada ELi bürokraatiat</w:t>
      </w:r>
      <w:r w:rsidR="00AA653F">
        <w:t xml:space="preserve"> ja ebamõistlikke aruandluskohustusi ettevõtetele.</w:t>
      </w:r>
      <w:r w:rsidR="001A4890">
        <w:t xml:space="preserve"> ELi läbirääkimistel tuleb seista ka selle eest, et E</w:t>
      </w:r>
      <w:r w:rsidR="00AA653F">
        <w:t xml:space="preserve">Li reeglid </w:t>
      </w:r>
      <w:r w:rsidR="001A4890">
        <w:t xml:space="preserve">oleksid </w:t>
      </w:r>
      <w:r w:rsidR="006E6962">
        <w:t xml:space="preserve">proportsionaalsed, kirjutatud määrusesse </w:t>
      </w:r>
      <w:r w:rsidR="001A4890">
        <w:t>lihtsa</w:t>
      </w:r>
      <w:r w:rsidR="006E6962">
        <w:t>lt ja üheselt mõistetavalt</w:t>
      </w:r>
      <w:r w:rsidR="001A4890">
        <w:t xml:space="preserve">. </w:t>
      </w:r>
    </w:p>
    <w:p w14:paraId="3177AE79" w14:textId="2B7DE871" w:rsidR="008D282F" w:rsidRPr="008D282F" w:rsidRDefault="008D282F" w:rsidP="008D282F">
      <w:pPr>
        <w:rPr>
          <w:rFonts w:ascii="Aptos" w:eastAsia="Aptos" w:hAnsi="Aptos" w:cs="Aptos"/>
          <w:b/>
          <w:bCs/>
        </w:rPr>
      </w:pPr>
      <w:r w:rsidRPr="008D282F">
        <w:rPr>
          <w:rFonts w:ascii="Aptos" w:eastAsia="Aptos" w:hAnsi="Aptos" w:cs="Aptos"/>
          <w:b/>
          <w:bCs/>
        </w:rPr>
        <w:t>Püsimagnetite tarbimiseelse ringlussevõtuga ning jäätmete tekke eristamisega E</w:t>
      </w:r>
      <w:r>
        <w:rPr>
          <w:rFonts w:ascii="Aptos" w:eastAsia="Aptos" w:hAnsi="Aptos" w:cs="Aptos"/>
          <w:b/>
          <w:bCs/>
        </w:rPr>
        <w:t>uroopa Liidus</w:t>
      </w:r>
      <w:r w:rsidRPr="008D282F">
        <w:rPr>
          <w:rFonts w:ascii="Aptos" w:eastAsia="Aptos" w:hAnsi="Aptos" w:cs="Aptos"/>
          <w:b/>
          <w:bCs/>
        </w:rPr>
        <w:t xml:space="preserve"> ja mujal seotud nõuetesse tuleb suhtuda pigem ettevaatlikult. Täiendavad toodete lisamine, mille rakenduvad andmete kogumise ja märgistamise nõuded, peab olema selge ja põhjendatud. </w:t>
      </w:r>
    </w:p>
    <w:p w14:paraId="0E8F7DA6" w14:textId="77777777" w:rsidR="008D282F" w:rsidRDefault="008D282F" w:rsidP="008D282F">
      <w:pPr>
        <w:rPr>
          <w:rFonts w:ascii="Aptos" w:eastAsia="Aptos" w:hAnsi="Aptos" w:cs="Aptos"/>
        </w:rPr>
      </w:pPr>
      <w:r w:rsidRPr="008D282F">
        <w:rPr>
          <w:rFonts w:ascii="Aptos" w:eastAsia="Aptos" w:hAnsi="Aptos" w:cs="Aptos"/>
        </w:rPr>
        <w:t xml:space="preserve">Kehtiva määruse 2024/1252 artiklit 28 muudetakse nii, et laieneks toodete ring (lisanduvad kõvakettad, muundurid, kõlarid, tsiviilotstarbelised mehitamata õhusõidukid või mootoriga mänguasjad), mille märgistuselt peab suutma välja lugeda nendes sisalduva kriitiliste toormete info. </w:t>
      </w:r>
    </w:p>
    <w:p w14:paraId="576D1D1D" w14:textId="4241A873" w:rsidR="008D282F" w:rsidRDefault="008D282F" w:rsidP="008D282F">
      <w:pPr>
        <w:rPr>
          <w:rFonts w:ascii="Aptos" w:eastAsia="Aptos" w:hAnsi="Aptos" w:cs="Aptos"/>
        </w:rPr>
      </w:pPr>
      <w:r w:rsidRPr="008D282F">
        <w:rPr>
          <w:rFonts w:ascii="Aptos" w:eastAsia="Aptos" w:hAnsi="Aptos" w:cs="Aptos"/>
        </w:rPr>
        <w:t>Kui kehtiva</w:t>
      </w:r>
      <w:r w:rsidR="004040F6">
        <w:rPr>
          <w:rFonts w:ascii="Aptos" w:eastAsia="Aptos" w:hAnsi="Aptos" w:cs="Aptos"/>
        </w:rPr>
        <w:t>s määruses</w:t>
      </w:r>
      <w:r w:rsidRPr="008D282F">
        <w:rPr>
          <w:rFonts w:ascii="Aptos" w:eastAsia="Aptos" w:hAnsi="Aptos" w:cs="Aptos"/>
        </w:rPr>
        <w:t xml:space="preserve"> 2024/1252 </w:t>
      </w:r>
      <w:r w:rsidR="004040F6">
        <w:rPr>
          <w:rFonts w:ascii="Aptos" w:eastAsia="Aptos" w:hAnsi="Aptos" w:cs="Aptos"/>
        </w:rPr>
        <w:t>on märgistamise nõu</w:t>
      </w:r>
      <w:r w:rsidR="00125689">
        <w:rPr>
          <w:rFonts w:ascii="Aptos" w:eastAsia="Aptos" w:hAnsi="Aptos" w:cs="Aptos"/>
        </w:rPr>
        <w:t>de</w:t>
      </w:r>
      <w:r w:rsidR="000B2340">
        <w:rPr>
          <w:rFonts w:ascii="Aptos" w:eastAsia="Aptos" w:hAnsi="Aptos" w:cs="Aptos"/>
        </w:rPr>
        <w:t xml:space="preserve"> </w:t>
      </w:r>
      <w:r w:rsidR="00AD4B80">
        <w:rPr>
          <w:rFonts w:ascii="Aptos" w:eastAsia="Aptos" w:hAnsi="Aptos" w:cs="Aptos"/>
        </w:rPr>
        <w:t xml:space="preserve">alla minevad tooted defineeritud, siis </w:t>
      </w:r>
      <w:r w:rsidR="00E213A4">
        <w:rPr>
          <w:rFonts w:ascii="Aptos" w:eastAsia="Aptos" w:hAnsi="Aptos" w:cs="Aptos"/>
        </w:rPr>
        <w:t>komisjoni esitatud määruse muutmise ettepaneku</w:t>
      </w:r>
      <w:r w:rsidR="005F3F88">
        <w:rPr>
          <w:rFonts w:ascii="Aptos" w:eastAsia="Aptos" w:hAnsi="Aptos" w:cs="Aptos"/>
        </w:rPr>
        <w:t xml:space="preserve">ga </w:t>
      </w:r>
      <w:r w:rsidR="00904508">
        <w:rPr>
          <w:rFonts w:ascii="Aptos" w:eastAsia="Aptos" w:hAnsi="Aptos" w:cs="Aptos"/>
        </w:rPr>
        <w:t>lisatava</w:t>
      </w:r>
      <w:r w:rsidR="00A32A5A">
        <w:rPr>
          <w:rFonts w:ascii="Aptos" w:eastAsia="Aptos" w:hAnsi="Aptos" w:cs="Aptos"/>
        </w:rPr>
        <w:t xml:space="preserve">te toodete definitsioone ei ole. </w:t>
      </w:r>
      <w:r w:rsidR="0039503A">
        <w:rPr>
          <w:rFonts w:ascii="Aptos" w:eastAsia="Aptos" w:hAnsi="Aptos" w:cs="Aptos"/>
        </w:rPr>
        <w:t>Nende d</w:t>
      </w:r>
      <w:r w:rsidRPr="008D282F">
        <w:rPr>
          <w:rFonts w:ascii="Aptos" w:eastAsia="Aptos" w:hAnsi="Aptos" w:cs="Aptos"/>
        </w:rPr>
        <w:t xml:space="preserve">efineerimata jätmine tekitab </w:t>
      </w:r>
      <w:r w:rsidR="00BB199C">
        <w:rPr>
          <w:rFonts w:ascii="Aptos" w:eastAsia="Aptos" w:hAnsi="Aptos" w:cs="Aptos"/>
        </w:rPr>
        <w:t>ebaselgust</w:t>
      </w:r>
      <w:r w:rsidR="00580173">
        <w:rPr>
          <w:rFonts w:ascii="Aptos" w:eastAsia="Aptos" w:hAnsi="Aptos" w:cs="Aptos"/>
        </w:rPr>
        <w:t xml:space="preserve"> ja segadust</w:t>
      </w:r>
      <w:r w:rsidR="008047A1">
        <w:rPr>
          <w:rFonts w:ascii="Aptos" w:eastAsia="Aptos" w:hAnsi="Aptos" w:cs="Aptos"/>
        </w:rPr>
        <w:t xml:space="preserve"> määruse jõustamisel</w:t>
      </w:r>
      <w:r w:rsidR="00B62977">
        <w:rPr>
          <w:rFonts w:ascii="Aptos" w:eastAsia="Aptos" w:hAnsi="Aptos" w:cs="Aptos"/>
        </w:rPr>
        <w:t xml:space="preserve">. </w:t>
      </w:r>
      <w:r w:rsidR="008047A1">
        <w:rPr>
          <w:rFonts w:ascii="Aptos" w:eastAsia="Aptos" w:hAnsi="Aptos" w:cs="Aptos"/>
        </w:rPr>
        <w:t>Seetõttu s</w:t>
      </w:r>
      <w:r w:rsidR="00B62977">
        <w:rPr>
          <w:rFonts w:ascii="Aptos" w:eastAsia="Aptos" w:hAnsi="Aptos" w:cs="Aptos"/>
        </w:rPr>
        <w:t>oovime, et lisatavad tooted oleks</w:t>
      </w:r>
      <w:r w:rsidR="008047A1">
        <w:rPr>
          <w:rFonts w:ascii="Aptos" w:eastAsia="Aptos" w:hAnsi="Aptos" w:cs="Aptos"/>
        </w:rPr>
        <w:t>id</w:t>
      </w:r>
      <w:r w:rsidR="00B62977">
        <w:rPr>
          <w:rFonts w:ascii="Aptos" w:eastAsia="Aptos" w:hAnsi="Aptos" w:cs="Aptos"/>
        </w:rPr>
        <w:t xml:space="preserve"> määruses defineeritud. </w:t>
      </w:r>
      <w:r w:rsidR="00DF06C2">
        <w:rPr>
          <w:rFonts w:ascii="Aptos" w:eastAsia="Aptos" w:hAnsi="Aptos" w:cs="Aptos"/>
        </w:rPr>
        <w:t>Praegu on määruse eelnõus puudu ka selgitused</w:t>
      </w:r>
      <w:r w:rsidR="007F5116">
        <w:rPr>
          <w:rFonts w:ascii="Aptos" w:eastAsia="Aptos" w:hAnsi="Aptos" w:cs="Aptos"/>
        </w:rPr>
        <w:t>,</w:t>
      </w:r>
      <w:r w:rsidR="00DF06C2">
        <w:rPr>
          <w:rFonts w:ascii="Aptos" w:eastAsia="Aptos" w:hAnsi="Aptos" w:cs="Aptos"/>
        </w:rPr>
        <w:t xml:space="preserve"> mis põhjendaksid, </w:t>
      </w:r>
      <w:r w:rsidR="00F74139">
        <w:rPr>
          <w:rFonts w:ascii="Aptos" w:eastAsia="Aptos" w:hAnsi="Aptos" w:cs="Aptos"/>
        </w:rPr>
        <w:t xml:space="preserve">miks just </w:t>
      </w:r>
      <w:r w:rsidR="00196B28">
        <w:rPr>
          <w:rFonts w:ascii="Aptos" w:eastAsia="Aptos" w:hAnsi="Aptos" w:cs="Aptos"/>
        </w:rPr>
        <w:t>need</w:t>
      </w:r>
      <w:r w:rsidR="00F74139">
        <w:rPr>
          <w:rFonts w:ascii="Aptos" w:eastAsia="Aptos" w:hAnsi="Aptos" w:cs="Aptos"/>
        </w:rPr>
        <w:t xml:space="preserve"> tooted määrusesse lisatakse. </w:t>
      </w:r>
    </w:p>
    <w:p w14:paraId="492BD1D5" w14:textId="512571E1" w:rsidR="00B3045E" w:rsidRDefault="008D282F" w:rsidP="008D282F">
      <w:pPr>
        <w:rPr>
          <w:rFonts w:ascii="Aptos" w:eastAsia="Aptos" w:hAnsi="Aptos" w:cs="Aptos"/>
        </w:rPr>
      </w:pPr>
      <w:r w:rsidRPr="008D282F">
        <w:rPr>
          <w:rFonts w:ascii="Aptos" w:eastAsia="Aptos" w:hAnsi="Aptos" w:cs="Aptos"/>
        </w:rPr>
        <w:lastRenderedPageBreak/>
        <w:t>Artikkel 29 puudutab püsimagnetites sisalduva toorme ringlussevõttu. Eesmärgiks on kindlustada see, et kriitiliste toormete ringlussevõtt toimuks ELis kohapeal.</w:t>
      </w:r>
      <w:r w:rsidR="00B902BD">
        <w:rPr>
          <w:rFonts w:ascii="Aptos" w:eastAsia="Aptos" w:hAnsi="Aptos" w:cs="Aptos"/>
        </w:rPr>
        <w:t xml:space="preserve"> </w:t>
      </w:r>
      <w:r w:rsidRPr="008D282F">
        <w:rPr>
          <w:rFonts w:ascii="Aptos" w:eastAsia="Aptos" w:hAnsi="Aptos" w:cs="Aptos"/>
        </w:rPr>
        <w:t xml:space="preserve">Läbirääkimistel tuleb jälgida, et ei tekiks selliseid ringlussevõtu kohustusi, mis </w:t>
      </w:r>
      <w:r w:rsidR="00E660CF">
        <w:rPr>
          <w:rFonts w:ascii="Aptos" w:eastAsia="Aptos" w:hAnsi="Aptos" w:cs="Aptos"/>
        </w:rPr>
        <w:t xml:space="preserve">ei ole </w:t>
      </w:r>
      <w:r w:rsidR="00BA79BD">
        <w:rPr>
          <w:rFonts w:ascii="Aptos" w:eastAsia="Aptos" w:hAnsi="Aptos" w:cs="Aptos"/>
        </w:rPr>
        <w:t>reaalselt teostatavad</w:t>
      </w:r>
      <w:r w:rsidR="00B86F63">
        <w:rPr>
          <w:rFonts w:ascii="Aptos" w:eastAsia="Aptos" w:hAnsi="Aptos" w:cs="Aptos"/>
        </w:rPr>
        <w:t xml:space="preserve">. </w:t>
      </w:r>
      <w:r w:rsidR="0072645E">
        <w:rPr>
          <w:rFonts w:ascii="Aptos" w:eastAsia="Aptos" w:hAnsi="Aptos" w:cs="Aptos"/>
        </w:rPr>
        <w:t>Tuleb teraselt jälgida, et ei tekiks ühtegi sellist uut nõuet, mis suurenda</w:t>
      </w:r>
      <w:r w:rsidR="00293C59">
        <w:rPr>
          <w:rFonts w:ascii="Aptos" w:eastAsia="Aptos" w:hAnsi="Aptos" w:cs="Aptos"/>
        </w:rPr>
        <w:t>b</w:t>
      </w:r>
      <w:r w:rsidR="0072645E">
        <w:rPr>
          <w:rFonts w:ascii="Aptos" w:eastAsia="Aptos" w:hAnsi="Aptos" w:cs="Aptos"/>
        </w:rPr>
        <w:t xml:space="preserve"> põhjendamatult ettevõtete halduskoormust. </w:t>
      </w:r>
      <w:r w:rsidR="00B3045E">
        <w:rPr>
          <w:rFonts w:ascii="Aptos" w:eastAsia="Aptos" w:hAnsi="Aptos" w:cs="Aptos"/>
        </w:rPr>
        <w:t xml:space="preserve"> </w:t>
      </w:r>
    </w:p>
    <w:p w14:paraId="626EB7A2" w14:textId="6BE82914" w:rsidR="008D282F" w:rsidRDefault="00326BAC" w:rsidP="008D282F">
      <w:pPr>
        <w:rPr>
          <w:rFonts w:ascii="Aptos" w:eastAsia="Aptos" w:hAnsi="Aptos" w:cs="Aptos"/>
        </w:rPr>
      </w:pPr>
      <w:r>
        <w:rPr>
          <w:rFonts w:ascii="Aptos" w:eastAsia="Aptos" w:hAnsi="Aptos" w:cs="Aptos"/>
        </w:rPr>
        <w:t xml:space="preserve">Esmajärjekorras tuleb vastata </w:t>
      </w:r>
      <w:r w:rsidR="008D282F" w:rsidRPr="008D282F">
        <w:rPr>
          <w:rFonts w:ascii="Aptos" w:eastAsia="Aptos" w:hAnsi="Aptos" w:cs="Aptos"/>
        </w:rPr>
        <w:t>küsimustele</w:t>
      </w:r>
      <w:r w:rsidR="00293C59">
        <w:rPr>
          <w:rFonts w:ascii="Aptos" w:eastAsia="Aptos" w:hAnsi="Aptos" w:cs="Aptos"/>
        </w:rPr>
        <w:t>,</w:t>
      </w:r>
      <w:r w:rsidR="008D282F" w:rsidRPr="008D282F">
        <w:rPr>
          <w:rFonts w:ascii="Aptos" w:eastAsia="Aptos" w:hAnsi="Aptos" w:cs="Aptos"/>
        </w:rPr>
        <w:t xml:space="preserve"> kuidas ja kui kiiresti saab üldse näiteks tuuleturbiinides või elektriautode mootorites </w:t>
      </w:r>
      <w:r>
        <w:rPr>
          <w:rFonts w:ascii="Aptos" w:eastAsia="Aptos" w:hAnsi="Aptos" w:cs="Aptos"/>
        </w:rPr>
        <w:t xml:space="preserve">või </w:t>
      </w:r>
      <w:r w:rsidR="008D282F" w:rsidRPr="008D282F">
        <w:rPr>
          <w:rFonts w:ascii="Aptos" w:eastAsia="Aptos" w:hAnsi="Aptos" w:cs="Aptos"/>
        </w:rPr>
        <w:t xml:space="preserve">teistes toodetes sisalduva kriitilise toorme kätte. Vajame sel teemal rohkem infot. Samuti vajab täpsustamist ja täiendavat põhjendamist täiendavate teabe (tarbimiseelse jäätmete ja jäätmete tekke osakaalude eristamine </w:t>
      </w:r>
      <w:r w:rsidR="008D282F">
        <w:rPr>
          <w:rFonts w:ascii="Aptos" w:eastAsia="Aptos" w:hAnsi="Aptos" w:cs="Aptos"/>
        </w:rPr>
        <w:t>Euroopa Liidus</w:t>
      </w:r>
      <w:r w:rsidR="008D282F" w:rsidRPr="008D282F">
        <w:rPr>
          <w:rFonts w:ascii="Aptos" w:eastAsia="Aptos" w:hAnsi="Aptos" w:cs="Aptos"/>
        </w:rPr>
        <w:t xml:space="preserve"> ja mujal) kohustuse lisamine. </w:t>
      </w:r>
    </w:p>
    <w:p w14:paraId="3C49E3EF" w14:textId="77777777" w:rsidR="0082376D" w:rsidRPr="0082376D" w:rsidRDefault="0082376D" w:rsidP="0082376D">
      <w:pPr>
        <w:rPr>
          <w:rFonts w:ascii="Aptos" w:eastAsia="Aptos" w:hAnsi="Aptos" w:cs="Aptos"/>
        </w:rPr>
      </w:pPr>
      <w:r w:rsidRPr="0082376D">
        <w:rPr>
          <w:rFonts w:ascii="Aptos" w:eastAsia="Aptos" w:hAnsi="Aptos" w:cs="Aptos"/>
        </w:rPr>
        <w:t>Kui täiendavad märgistamise nõuded kehtestada, siis peavad need olema selged ja lihtsalt kohaldatavad. Ettevõtjatele lisanduv andmete kogumise ja toodetele kandmisest tulenev halduskoormus peab olema põhjendatud andmetest saadava kasuga.</w:t>
      </w:r>
    </w:p>
    <w:p w14:paraId="7CA7613A" w14:textId="77777777" w:rsidR="0082376D" w:rsidRDefault="0082376D" w:rsidP="008D282F">
      <w:pPr>
        <w:rPr>
          <w:rFonts w:ascii="Aptos" w:eastAsia="Aptos" w:hAnsi="Aptos" w:cs="Aptos"/>
        </w:rPr>
      </w:pPr>
    </w:p>
    <w:p w14:paraId="579E1839" w14:textId="77777777" w:rsidR="008D282F" w:rsidRPr="008D282F" w:rsidRDefault="008D282F" w:rsidP="008D282F">
      <w:pPr>
        <w:rPr>
          <w:rFonts w:ascii="Aptos" w:eastAsia="Aptos" w:hAnsi="Aptos" w:cs="Aptos"/>
        </w:rPr>
      </w:pPr>
    </w:p>
    <w:p w14:paraId="67141C9E" w14:textId="77777777" w:rsidR="008D282F" w:rsidRPr="008D282F" w:rsidRDefault="008D282F" w:rsidP="008D282F">
      <w:pPr>
        <w:rPr>
          <w:rFonts w:ascii="Aptos" w:eastAsia="Aptos" w:hAnsi="Aptos" w:cs="Aptos"/>
        </w:rPr>
      </w:pPr>
    </w:p>
    <w:p w14:paraId="14F9197B" w14:textId="25D32D25" w:rsidR="34F2E529" w:rsidRDefault="34F2E529" w:rsidP="1A52ABDC">
      <w:pPr>
        <w:rPr>
          <w:rFonts w:ascii="Aptos" w:eastAsia="Aptos" w:hAnsi="Aptos" w:cs="Aptos"/>
        </w:rPr>
      </w:pPr>
    </w:p>
    <w:sectPr w:rsidR="34F2E5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C5030E"/>
    <w:multiLevelType w:val="hybridMultilevel"/>
    <w:tmpl w:val="A51A6896"/>
    <w:lvl w:ilvl="0" w:tplc="D17877E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D9F424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74832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FE0C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36DC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283A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EC5B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2E81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1AE57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93769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919"/>
    <w:rsid w:val="00016705"/>
    <w:rsid w:val="000326E2"/>
    <w:rsid w:val="00063902"/>
    <w:rsid w:val="00081AE6"/>
    <w:rsid w:val="0008750A"/>
    <w:rsid w:val="000B2340"/>
    <w:rsid w:val="000B4BE4"/>
    <w:rsid w:val="000D2FDE"/>
    <w:rsid w:val="000D6AC9"/>
    <w:rsid w:val="00125689"/>
    <w:rsid w:val="00196B28"/>
    <w:rsid w:val="001A4890"/>
    <w:rsid w:val="001B2F49"/>
    <w:rsid w:val="001D5C7D"/>
    <w:rsid w:val="001E6333"/>
    <w:rsid w:val="001E79AE"/>
    <w:rsid w:val="00293C59"/>
    <w:rsid w:val="00293F51"/>
    <w:rsid w:val="002D1523"/>
    <w:rsid w:val="002E48B1"/>
    <w:rsid w:val="003248C8"/>
    <w:rsid w:val="00326BAC"/>
    <w:rsid w:val="003302D8"/>
    <w:rsid w:val="0039014B"/>
    <w:rsid w:val="0039503A"/>
    <w:rsid w:val="004040F6"/>
    <w:rsid w:val="00424225"/>
    <w:rsid w:val="00424689"/>
    <w:rsid w:val="00451D55"/>
    <w:rsid w:val="00454D6F"/>
    <w:rsid w:val="004D2D46"/>
    <w:rsid w:val="004D6A60"/>
    <w:rsid w:val="004E6227"/>
    <w:rsid w:val="00516A07"/>
    <w:rsid w:val="005204FA"/>
    <w:rsid w:val="005278A1"/>
    <w:rsid w:val="00580173"/>
    <w:rsid w:val="005F3F88"/>
    <w:rsid w:val="00600546"/>
    <w:rsid w:val="00683447"/>
    <w:rsid w:val="006A7608"/>
    <w:rsid w:val="006D168D"/>
    <w:rsid w:val="006E6962"/>
    <w:rsid w:val="0072645E"/>
    <w:rsid w:val="0074751F"/>
    <w:rsid w:val="007649C9"/>
    <w:rsid w:val="007A05BC"/>
    <w:rsid w:val="007D3419"/>
    <w:rsid w:val="007F5116"/>
    <w:rsid w:val="008047A1"/>
    <w:rsid w:val="0082376D"/>
    <w:rsid w:val="008A4919"/>
    <w:rsid w:val="008B349B"/>
    <w:rsid w:val="008D282F"/>
    <w:rsid w:val="008F0846"/>
    <w:rsid w:val="008F1528"/>
    <w:rsid w:val="00904508"/>
    <w:rsid w:val="009366B8"/>
    <w:rsid w:val="00956EF2"/>
    <w:rsid w:val="00970FAB"/>
    <w:rsid w:val="00990129"/>
    <w:rsid w:val="00A20917"/>
    <w:rsid w:val="00A32A5A"/>
    <w:rsid w:val="00AA653F"/>
    <w:rsid w:val="00AD4B80"/>
    <w:rsid w:val="00AF1AFC"/>
    <w:rsid w:val="00AF534B"/>
    <w:rsid w:val="00B04106"/>
    <w:rsid w:val="00B13E5C"/>
    <w:rsid w:val="00B3045E"/>
    <w:rsid w:val="00B44BDA"/>
    <w:rsid w:val="00B61589"/>
    <w:rsid w:val="00B62977"/>
    <w:rsid w:val="00B86F63"/>
    <w:rsid w:val="00B902BD"/>
    <w:rsid w:val="00BA6681"/>
    <w:rsid w:val="00BA79BD"/>
    <w:rsid w:val="00BB199C"/>
    <w:rsid w:val="00C21594"/>
    <w:rsid w:val="00C61BAD"/>
    <w:rsid w:val="00C746B6"/>
    <w:rsid w:val="00D05CF2"/>
    <w:rsid w:val="00D14A12"/>
    <w:rsid w:val="00D4470F"/>
    <w:rsid w:val="00D5694E"/>
    <w:rsid w:val="00DC0520"/>
    <w:rsid w:val="00DD2397"/>
    <w:rsid w:val="00DF06C2"/>
    <w:rsid w:val="00E06084"/>
    <w:rsid w:val="00E213A4"/>
    <w:rsid w:val="00E3423B"/>
    <w:rsid w:val="00E660CF"/>
    <w:rsid w:val="00E72F6E"/>
    <w:rsid w:val="00EA3322"/>
    <w:rsid w:val="00F10E2A"/>
    <w:rsid w:val="00F55DA6"/>
    <w:rsid w:val="00F66900"/>
    <w:rsid w:val="00F74139"/>
    <w:rsid w:val="00FA64B2"/>
    <w:rsid w:val="00FE577A"/>
    <w:rsid w:val="00FF230F"/>
    <w:rsid w:val="0C2EBEA7"/>
    <w:rsid w:val="183B8791"/>
    <w:rsid w:val="1A52ABDC"/>
    <w:rsid w:val="204F5A0F"/>
    <w:rsid w:val="210790FC"/>
    <w:rsid w:val="308ADCF6"/>
    <w:rsid w:val="34F2E529"/>
    <w:rsid w:val="38C4B7FD"/>
    <w:rsid w:val="3DCE2114"/>
    <w:rsid w:val="3E50B8C1"/>
    <w:rsid w:val="44D9F145"/>
    <w:rsid w:val="4F1A949D"/>
    <w:rsid w:val="6C890079"/>
    <w:rsid w:val="70FFCD90"/>
    <w:rsid w:val="7662380C"/>
    <w:rsid w:val="777CDC09"/>
    <w:rsid w:val="7C2CB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A627E"/>
  <w15:chartTrackingRefBased/>
  <w15:docId w15:val="{A44B570F-DF0B-492D-A3B4-5FF08072B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8A49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8A49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8A49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8A49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8A49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8A49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8A49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8A49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8A49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8A49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8A49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8A49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8A4919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8A4919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8A4919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8A4919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8A4919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8A4919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8A49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8A49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8A49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8A49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8A49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8A4919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8A4919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8A4919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8A49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8A4919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8A491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0f65bec-117b-4ec2-83b8-dbdf58b29f23">
      <Terms xmlns="http://schemas.microsoft.com/office/infopath/2007/PartnerControls"/>
    </lcf76f155ced4ddcb4097134ff3c332f>
    <Kommentaar xmlns="90f65bec-117b-4ec2-83b8-dbdf58b29f23" xsi:nil="true"/>
    <Saatja xmlns="90f65bec-117b-4ec2-83b8-dbdf58b29f23" xsi:nil="true"/>
    <TaxCatchAll xmlns="9b483750-598d-46a0-877d-052f8f804d2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A9530149E6D647995539E7A0B89E3B" ma:contentTypeVersion="17" ma:contentTypeDescription="Create a new document." ma:contentTypeScope="" ma:versionID="7c46ae27d01ead27a0c9203c39471f3c">
  <xsd:schema xmlns:xsd="http://www.w3.org/2001/XMLSchema" xmlns:xs="http://www.w3.org/2001/XMLSchema" xmlns:p="http://schemas.microsoft.com/office/2006/metadata/properties" xmlns:ns2="90f65bec-117b-4ec2-83b8-dbdf58b29f23" xmlns:ns3="9b483750-598d-46a0-877d-052f8f804d23" targetNamespace="http://schemas.microsoft.com/office/2006/metadata/properties" ma:root="true" ma:fieldsID="6116a18edfdcca7ed94d4ca9b43ceef8" ns2:_="" ns3:_="">
    <xsd:import namespace="90f65bec-117b-4ec2-83b8-dbdf58b29f23"/>
    <xsd:import namespace="9b483750-598d-46a0-877d-052f8f804d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BillingMetadata" minOccurs="0"/>
                <xsd:element ref="ns2:Kommentaar" minOccurs="0"/>
                <xsd:element ref="ns2:Saatj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f65bec-117b-4ec2-83b8-dbdf58b29f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bf6974d-894c-4b76-94e9-da4eaeb0c3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  <xsd:element name="Kommentaar" ma:index="22" nillable="true" ma:displayName="Kommentaar" ma:format="Dropdown" ma:internalName="Kommentaar">
      <xsd:simpleType>
        <xsd:restriction base="dms:Note">
          <xsd:maxLength value="255"/>
        </xsd:restriction>
      </xsd:simpleType>
    </xsd:element>
    <xsd:element name="Saatja" ma:index="23" nillable="true" ma:displayName="Saatja" ma:format="Dropdown" ma:internalName="Saatja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483750-598d-46a0-877d-052f8f804d2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4a8002c-a323-400f-914b-e14a16ae7c42}" ma:internalName="TaxCatchAll" ma:showField="CatchAllData" ma:web="9b483750-598d-46a0-877d-052f8f804d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8C0189-6643-4C35-A994-907404F054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8EFC8B9-A13E-4BE0-A328-6C964667D75E}">
  <ds:schemaRefs>
    <ds:schemaRef ds:uri="http://schemas.microsoft.com/office/2006/metadata/properties"/>
    <ds:schemaRef ds:uri="http://schemas.microsoft.com/office/infopath/2007/PartnerControls"/>
    <ds:schemaRef ds:uri="90f65bec-117b-4ec2-83b8-dbdf58b29f23"/>
    <ds:schemaRef ds:uri="9b483750-598d-46a0-877d-052f8f804d23"/>
  </ds:schemaRefs>
</ds:datastoreItem>
</file>

<file path=customXml/itemProps3.xml><?xml version="1.0" encoding="utf-8"?>
<ds:datastoreItem xmlns:ds="http://schemas.openxmlformats.org/officeDocument/2006/customXml" ds:itemID="{24E71C9B-62B3-4EA3-A067-4577E7E5FD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f65bec-117b-4ec2-83b8-dbdf58b29f23"/>
    <ds:schemaRef ds:uri="9b483750-598d-46a0-877d-052f8f804d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531</Words>
  <Characters>3084</Characters>
  <Application>Microsoft Office Word</Application>
  <DocSecurity>0</DocSecurity>
  <Lines>25</Lines>
  <Paragraphs>7</Paragraphs>
  <ScaleCrop>false</ScaleCrop>
  <Company/>
  <LinksUpToDate>false</LinksUpToDate>
  <CharactersWithSpaces>3608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Külli Kapper - MKM</dc:creator>
  <cp:keywords/>
  <dc:description/>
  <cp:lastModifiedBy>Külli Kapper - MKM</cp:lastModifiedBy>
  <cp:revision>91</cp:revision>
  <dcterms:created xsi:type="dcterms:W3CDTF">2026-01-23T06:34:00Z</dcterms:created>
  <dcterms:modified xsi:type="dcterms:W3CDTF">2026-01-23T12:45:00Z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2026-01-13T13:50:07Z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8fe098d2-428d-4bd4-9803-7195fe96f0e2</vt:lpwstr>
  </property>
  <property fmtid="{D5CDD505-2E9C-101B-9397-08002B2CF9AE}" pid="7" name="MSIP_Label_defa4170-0d19-0005-0004-bc88714345d2_ActionId">
    <vt:lpwstr>7810b48f-0f12-4b70-babe-418d32aa46d1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  <property fmtid="{D5CDD505-2E9C-101B-9397-08002B2CF9AE}" pid="10" name="ContentTypeId">
    <vt:lpwstr>0x010100A8A9530149E6D647995539E7A0B89E3B</vt:lpwstr>
  </property>
  <property fmtid="{D5CDD505-2E9C-101B-9397-08002B2CF9AE}" pid="11" name="docLang">
    <vt:lpwstr>et</vt:lpwstr>
  </property>
  <property fmtid="{D5CDD505-2E9C-101B-9397-08002B2CF9AE}" pid="12" name="MediaServiceImageTags">
    <vt:lpwstr/>
  </property>
</Properties>
</file>